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2778"/>
        <w:gridCol w:w="6567"/>
      </w:tblGrid>
      <w:tr w:rsidR="00A81B97" w:rsidTr="00710A33">
        <w:trPr>
          <w:trHeight w:val="1064"/>
        </w:trPr>
        <w:tc>
          <w:tcPr>
            <w:tcW w:w="2830" w:type="dxa"/>
          </w:tcPr>
          <w:p w:rsidR="00A81B97" w:rsidRDefault="00A81B97" w:rsidP="00710A33">
            <w:pPr>
              <w:jc w:val="both"/>
              <w:rPr>
                <w:sz w:val="16"/>
                <w:szCs w:val="16"/>
              </w:rPr>
            </w:pPr>
            <w:r w:rsidRPr="00D02206">
              <w:rPr>
                <w:noProof/>
              </w:rPr>
              <w:drawing>
                <wp:inline distT="0" distB="0" distL="0" distR="0" wp14:anchorId="0FB9F9A0" wp14:editId="6CAA19C2">
                  <wp:extent cx="1183341" cy="392371"/>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863" cy="418076"/>
                          </a:xfrm>
                          <a:prstGeom prst="rect">
                            <a:avLst/>
                          </a:prstGeom>
                          <a:noFill/>
                          <a:ln>
                            <a:noFill/>
                          </a:ln>
                        </pic:spPr>
                      </pic:pic>
                    </a:graphicData>
                  </a:graphic>
                </wp:inline>
              </w:drawing>
            </w:r>
          </w:p>
          <w:p w:rsidR="00A81B97" w:rsidRDefault="00A81B97" w:rsidP="00710A33">
            <w:pPr>
              <w:jc w:val="both"/>
              <w:rPr>
                <w:sz w:val="16"/>
                <w:szCs w:val="16"/>
              </w:rPr>
            </w:pPr>
          </w:p>
          <w:p w:rsidR="00A81B97" w:rsidRDefault="00A81B97" w:rsidP="00710A33">
            <w:pPr>
              <w:jc w:val="both"/>
              <w:rPr>
                <w:sz w:val="16"/>
                <w:szCs w:val="16"/>
              </w:rPr>
            </w:pPr>
          </w:p>
        </w:tc>
        <w:tc>
          <w:tcPr>
            <w:tcW w:w="6941" w:type="dxa"/>
          </w:tcPr>
          <w:p w:rsidR="00A81B97" w:rsidRPr="009E40DE" w:rsidRDefault="00A81B97" w:rsidP="00710A33">
            <w:pPr>
              <w:jc w:val="right"/>
              <w:rPr>
                <w:b/>
                <w:sz w:val="16"/>
                <w:szCs w:val="16"/>
              </w:rPr>
            </w:pPr>
            <w:r>
              <w:rPr>
                <w:sz w:val="16"/>
                <w:szCs w:val="16"/>
              </w:rPr>
              <w:t xml:space="preserve">                          </w:t>
            </w:r>
            <w:r w:rsidRPr="009E40DE">
              <w:rPr>
                <w:b/>
                <w:sz w:val="16"/>
                <w:szCs w:val="16"/>
              </w:rPr>
              <w:t xml:space="preserve">Приложение </w:t>
            </w:r>
            <w:r>
              <w:rPr>
                <w:b/>
                <w:sz w:val="16"/>
                <w:szCs w:val="16"/>
              </w:rPr>
              <w:t>1</w:t>
            </w:r>
          </w:p>
          <w:p w:rsidR="00A81B97" w:rsidRPr="009E40DE" w:rsidRDefault="00A81B97" w:rsidP="00710A33">
            <w:pPr>
              <w:jc w:val="right"/>
              <w:rPr>
                <w:sz w:val="16"/>
                <w:szCs w:val="16"/>
              </w:rPr>
            </w:pPr>
            <w:r w:rsidRPr="009E40DE">
              <w:rPr>
                <w:sz w:val="16"/>
                <w:szCs w:val="16"/>
              </w:rPr>
              <w:t>к Положению об особенностях осуществления в ООО КБ «Столичный Кредит»</w:t>
            </w:r>
          </w:p>
          <w:p w:rsidR="00A81B97" w:rsidRPr="009E40DE" w:rsidRDefault="00A81B97" w:rsidP="00710A33">
            <w:pPr>
              <w:jc w:val="right"/>
              <w:rPr>
                <w:sz w:val="16"/>
                <w:szCs w:val="16"/>
              </w:rPr>
            </w:pPr>
            <w:r w:rsidRPr="009E40DE">
              <w:rPr>
                <w:sz w:val="16"/>
                <w:szCs w:val="16"/>
              </w:rPr>
              <w:t xml:space="preserve"> финансовых операций с иностранными юридическими и физическими лицами </w:t>
            </w:r>
          </w:p>
          <w:p w:rsidR="00A81B97" w:rsidRPr="009E40DE" w:rsidRDefault="00A81B97" w:rsidP="00710A33">
            <w:pPr>
              <w:jc w:val="right"/>
              <w:rPr>
                <w:sz w:val="16"/>
                <w:szCs w:val="16"/>
              </w:rPr>
            </w:pPr>
            <w:r w:rsidRPr="009E40DE">
              <w:rPr>
                <w:sz w:val="16"/>
                <w:szCs w:val="16"/>
              </w:rPr>
              <w:t xml:space="preserve">и информационного взаимодействия с уполномоченными органами в целях </w:t>
            </w:r>
          </w:p>
          <w:p w:rsidR="00A81B97" w:rsidRDefault="00A81B97" w:rsidP="00710A33">
            <w:pPr>
              <w:jc w:val="right"/>
              <w:rPr>
                <w:sz w:val="16"/>
                <w:szCs w:val="16"/>
              </w:rPr>
            </w:pPr>
            <w:r w:rsidRPr="009E40DE">
              <w:rPr>
                <w:sz w:val="16"/>
                <w:szCs w:val="16"/>
              </w:rPr>
              <w:t xml:space="preserve">соблюдения требований режимов </w:t>
            </w:r>
            <w:r w:rsidRPr="009E40DE">
              <w:rPr>
                <w:sz w:val="16"/>
                <w:szCs w:val="16"/>
                <w:lang w:val="en-US"/>
              </w:rPr>
              <w:t>FATCA</w:t>
            </w:r>
            <w:r w:rsidRPr="009E40DE">
              <w:rPr>
                <w:sz w:val="16"/>
                <w:szCs w:val="16"/>
              </w:rPr>
              <w:t xml:space="preserve"> и </w:t>
            </w:r>
            <w:r w:rsidRPr="009E40DE">
              <w:rPr>
                <w:sz w:val="16"/>
                <w:szCs w:val="16"/>
                <w:lang w:val="en-US"/>
              </w:rPr>
              <w:t>CRS</w:t>
            </w:r>
          </w:p>
        </w:tc>
      </w:tr>
    </w:tbl>
    <w:p w:rsidR="00636A48" w:rsidRPr="00E701EB" w:rsidRDefault="00636A48" w:rsidP="00636A48">
      <w:pPr>
        <w:autoSpaceDE w:val="0"/>
        <w:autoSpaceDN w:val="0"/>
        <w:adjustRightInd w:val="0"/>
        <w:spacing w:after="0" w:line="240" w:lineRule="auto"/>
        <w:jc w:val="both"/>
        <w:outlineLvl w:val="0"/>
        <w:rPr>
          <w:rFonts w:ascii="Times New Roman" w:hAnsi="Times New Roman" w:cs="Times New Roman"/>
          <w:sz w:val="24"/>
          <w:szCs w:val="24"/>
        </w:rPr>
      </w:pPr>
      <w:bookmarkStart w:id="0" w:name="_GoBack"/>
      <w:bookmarkEnd w:id="0"/>
    </w:p>
    <w:p w:rsidR="00636A48" w:rsidRPr="00E701EB" w:rsidRDefault="00636A48" w:rsidP="00636A48">
      <w:pPr>
        <w:autoSpaceDE w:val="0"/>
        <w:autoSpaceDN w:val="0"/>
        <w:adjustRightInd w:val="0"/>
        <w:spacing w:after="0" w:line="240" w:lineRule="auto"/>
        <w:jc w:val="center"/>
        <w:rPr>
          <w:rFonts w:ascii="Times New Roman" w:hAnsi="Times New Roman" w:cs="Times New Roman"/>
          <w:b/>
          <w:bCs/>
          <w:sz w:val="24"/>
          <w:szCs w:val="24"/>
        </w:rPr>
      </w:pPr>
      <w:r w:rsidRPr="00E701EB">
        <w:rPr>
          <w:rFonts w:ascii="Times New Roman" w:hAnsi="Times New Roman" w:cs="Times New Roman"/>
          <w:b/>
          <w:bCs/>
          <w:sz w:val="24"/>
          <w:szCs w:val="24"/>
        </w:rPr>
        <w:t>ПРИЗНАКИ</w:t>
      </w:r>
    </w:p>
    <w:p w:rsidR="00636A48" w:rsidRPr="00E701EB" w:rsidRDefault="00636A48" w:rsidP="00636A48">
      <w:pPr>
        <w:autoSpaceDE w:val="0"/>
        <w:autoSpaceDN w:val="0"/>
        <w:adjustRightInd w:val="0"/>
        <w:spacing w:after="0" w:line="240" w:lineRule="auto"/>
        <w:jc w:val="center"/>
        <w:rPr>
          <w:rFonts w:ascii="Times New Roman" w:hAnsi="Times New Roman" w:cs="Times New Roman"/>
          <w:b/>
          <w:bCs/>
          <w:sz w:val="24"/>
          <w:szCs w:val="24"/>
        </w:rPr>
      </w:pPr>
      <w:r w:rsidRPr="00E701EB">
        <w:rPr>
          <w:rFonts w:ascii="Times New Roman" w:hAnsi="Times New Roman" w:cs="Times New Roman"/>
          <w:b/>
          <w:bCs/>
          <w:sz w:val="24"/>
          <w:szCs w:val="24"/>
        </w:rPr>
        <w:t>КЛИЕНТОВ (ЗА ИСКЛЮЧЕНИЕМ КЛИЕНТОВ - ФИЗИЧЕСКИХ ЛИЦ),</w:t>
      </w:r>
    </w:p>
    <w:p w:rsidR="00636A48" w:rsidRPr="00E701EB" w:rsidRDefault="00636A48" w:rsidP="00636A48">
      <w:pPr>
        <w:autoSpaceDE w:val="0"/>
        <w:autoSpaceDN w:val="0"/>
        <w:adjustRightInd w:val="0"/>
        <w:spacing w:after="0" w:line="240" w:lineRule="auto"/>
        <w:jc w:val="center"/>
        <w:rPr>
          <w:rFonts w:ascii="Times New Roman" w:hAnsi="Times New Roman" w:cs="Times New Roman"/>
          <w:b/>
          <w:bCs/>
          <w:sz w:val="24"/>
          <w:szCs w:val="24"/>
        </w:rPr>
      </w:pPr>
      <w:r w:rsidRPr="00E701EB">
        <w:rPr>
          <w:rFonts w:ascii="Times New Roman" w:hAnsi="Times New Roman" w:cs="Times New Roman"/>
          <w:b/>
          <w:bCs/>
          <w:sz w:val="24"/>
          <w:szCs w:val="24"/>
        </w:rPr>
        <w:t>ОСУЩЕСТВЛЯЮЩИХ АКТИВНУЮ ДЕЯТЕЛЬНОСТЬ</w:t>
      </w:r>
    </w:p>
    <w:p w:rsidR="00636A48" w:rsidRPr="00E701EB" w:rsidRDefault="00636A48" w:rsidP="00636A48">
      <w:pPr>
        <w:autoSpaceDE w:val="0"/>
        <w:autoSpaceDN w:val="0"/>
        <w:adjustRightInd w:val="0"/>
        <w:spacing w:after="0" w:line="240" w:lineRule="auto"/>
        <w:rPr>
          <w:rFonts w:ascii="Times New Roman" w:hAnsi="Times New Roman" w:cs="Times New Roman"/>
          <w:sz w:val="24"/>
          <w:szCs w:val="24"/>
        </w:rPr>
      </w:pPr>
    </w:p>
    <w:p w:rsidR="00636A48" w:rsidRPr="00E701EB" w:rsidRDefault="00636A48" w:rsidP="00636A48">
      <w:pPr>
        <w:autoSpaceDE w:val="0"/>
        <w:autoSpaceDN w:val="0"/>
        <w:adjustRightInd w:val="0"/>
        <w:spacing w:after="0" w:line="240" w:lineRule="auto"/>
        <w:ind w:firstLine="851"/>
        <w:jc w:val="both"/>
        <w:rPr>
          <w:rFonts w:ascii="Times New Roman" w:hAnsi="Times New Roman" w:cs="Times New Roman"/>
          <w:sz w:val="24"/>
          <w:szCs w:val="24"/>
        </w:rPr>
      </w:pPr>
      <w:r w:rsidRPr="00E701EB">
        <w:rPr>
          <w:rFonts w:ascii="Times New Roman" w:hAnsi="Times New Roman" w:cs="Times New Roman"/>
          <w:sz w:val="24"/>
          <w:szCs w:val="24"/>
        </w:rPr>
        <w:t xml:space="preserve">1. В целях Положения об особенностях осуществления в ООО КБ «Столичный Кредит» финансовых операций с иностранными юридическими и физическими лицами и информационного взаимодействия с уполномоченными органами в целях соблюдения требований режимов </w:t>
      </w:r>
      <w:r w:rsidRPr="00E701EB">
        <w:rPr>
          <w:rFonts w:ascii="Times New Roman" w:hAnsi="Times New Roman" w:cs="Times New Roman"/>
          <w:sz w:val="24"/>
          <w:szCs w:val="24"/>
          <w:lang w:val="en-US"/>
        </w:rPr>
        <w:t>FATCA</w:t>
      </w:r>
      <w:r w:rsidRPr="00E701EB">
        <w:rPr>
          <w:rFonts w:ascii="Times New Roman" w:hAnsi="Times New Roman" w:cs="Times New Roman"/>
          <w:sz w:val="24"/>
          <w:szCs w:val="24"/>
        </w:rPr>
        <w:t xml:space="preserve"> и </w:t>
      </w:r>
      <w:r w:rsidRPr="00E701EB">
        <w:rPr>
          <w:rFonts w:ascii="Times New Roman" w:hAnsi="Times New Roman" w:cs="Times New Roman"/>
          <w:sz w:val="24"/>
          <w:szCs w:val="24"/>
          <w:lang w:val="en-US"/>
        </w:rPr>
        <w:t>CRS</w:t>
      </w:r>
      <w:r w:rsidRPr="00E701EB">
        <w:rPr>
          <w:rFonts w:ascii="Times New Roman" w:hAnsi="Times New Roman" w:cs="Times New Roman"/>
          <w:sz w:val="24"/>
          <w:szCs w:val="24"/>
        </w:rPr>
        <w:t>:</w:t>
      </w:r>
    </w:p>
    <w:p w:rsidR="00636A48" w:rsidRPr="00E701EB" w:rsidRDefault="00636A48" w:rsidP="00636A48">
      <w:pPr>
        <w:autoSpaceDE w:val="0"/>
        <w:autoSpaceDN w:val="0"/>
        <w:adjustRightInd w:val="0"/>
        <w:spacing w:before="240" w:after="0" w:line="240" w:lineRule="auto"/>
        <w:ind w:firstLine="851"/>
        <w:jc w:val="both"/>
        <w:rPr>
          <w:rFonts w:ascii="Times New Roman" w:hAnsi="Times New Roman" w:cs="Times New Roman"/>
          <w:sz w:val="24"/>
          <w:szCs w:val="24"/>
        </w:rPr>
      </w:pPr>
      <w:r w:rsidRPr="00E701EB">
        <w:rPr>
          <w:rFonts w:ascii="Times New Roman" w:hAnsi="Times New Roman" w:cs="Times New Roman"/>
          <w:sz w:val="24"/>
          <w:szCs w:val="24"/>
        </w:rPr>
        <w:t>а) Клиент (за исключением Клиента - физического лица) признается осуществляющим активную деятельность в любом из следующих случаев:</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 xml:space="preserve">за календарный год, предшествующий отчетному периоду, менее 50 процентов доходов Клиента составляют доходы от пассивной деятельности в соответствии с </w:t>
      </w:r>
      <w:hyperlink w:anchor="Par19" w:history="1">
        <w:r w:rsidRPr="00E701EB">
          <w:rPr>
            <w:rFonts w:ascii="Times New Roman" w:hAnsi="Times New Roman" w:cs="Times New Roman"/>
            <w:sz w:val="24"/>
            <w:szCs w:val="24"/>
          </w:rPr>
          <w:t>подпунктом "б"</w:t>
        </w:r>
      </w:hyperlink>
      <w:r w:rsidRPr="00E701EB">
        <w:rPr>
          <w:rFonts w:ascii="Times New Roman" w:hAnsi="Times New Roman" w:cs="Times New Roman"/>
          <w:sz w:val="24"/>
          <w:szCs w:val="24"/>
        </w:rPr>
        <w:t xml:space="preserve"> настоящего пункта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в соответствии с </w:t>
      </w:r>
      <w:hyperlink w:anchor="Par19" w:history="1">
        <w:r w:rsidRPr="00E701EB">
          <w:rPr>
            <w:rFonts w:ascii="Times New Roman" w:hAnsi="Times New Roman" w:cs="Times New Roman"/>
            <w:sz w:val="24"/>
            <w:szCs w:val="24"/>
          </w:rPr>
          <w:t>подпунктом "б"</w:t>
        </w:r>
      </w:hyperlink>
      <w:r w:rsidRPr="00E701EB">
        <w:rPr>
          <w:rFonts w:ascii="Times New Roman" w:hAnsi="Times New Roman" w:cs="Times New Roman"/>
          <w:sz w:val="24"/>
          <w:szCs w:val="24"/>
        </w:rPr>
        <w:t xml:space="preserve"> настоящего пункта;</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акции (доли) Клиента обращаются на организованных торгах в Российской Федерации или на иностранной бирже;</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 xml:space="preserve">акции (доли) организации (или структуры без образования юридического лица), которая прямо или косвенно контролируется Клиентом или </w:t>
      </w:r>
      <w:proofErr w:type="gramStart"/>
      <w:r w:rsidRPr="00E701EB">
        <w:rPr>
          <w:rFonts w:ascii="Times New Roman" w:hAnsi="Times New Roman" w:cs="Times New Roman"/>
          <w:sz w:val="24"/>
          <w:szCs w:val="24"/>
        </w:rPr>
        <w:t>прямо</w:t>
      </w:r>
      <w:proofErr w:type="gramEnd"/>
      <w:r w:rsidRPr="00E701EB">
        <w:rPr>
          <w:rFonts w:ascii="Times New Roman" w:hAnsi="Times New Roman" w:cs="Times New Roman"/>
          <w:sz w:val="24"/>
          <w:szCs w:val="24"/>
        </w:rPr>
        <w:t xml:space="preserve">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Клиент является вновь созданным лицом;</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t>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636A48" w:rsidRPr="00E701EB" w:rsidRDefault="00636A48" w:rsidP="00636A48">
      <w:pPr>
        <w:pStyle w:val="a3"/>
        <w:numPr>
          <w:ilvl w:val="0"/>
          <w:numId w:val="1"/>
        </w:numPr>
        <w:tabs>
          <w:tab w:val="left" w:pos="1134"/>
        </w:tabs>
        <w:autoSpaceDE w:val="0"/>
        <w:autoSpaceDN w:val="0"/>
        <w:adjustRightInd w:val="0"/>
        <w:spacing w:before="240" w:after="0" w:line="240" w:lineRule="auto"/>
        <w:ind w:left="0" w:firstLine="851"/>
        <w:jc w:val="both"/>
        <w:rPr>
          <w:rFonts w:ascii="Times New Roman" w:hAnsi="Times New Roman" w:cs="Times New Roman"/>
          <w:sz w:val="24"/>
          <w:szCs w:val="24"/>
        </w:rPr>
      </w:pPr>
      <w:r w:rsidRPr="00E701EB">
        <w:rPr>
          <w:rFonts w:ascii="Times New Roman" w:hAnsi="Times New Roman" w:cs="Times New Roman"/>
          <w:sz w:val="24"/>
          <w:szCs w:val="24"/>
        </w:rPr>
        <w:lastRenderedPageBreak/>
        <w:t>Клиент является некоммерческой организацией, доходы которой не являются объектом налогообложения или освобождаются от налогов;</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19"/>
      <w:bookmarkEnd w:id="1"/>
      <w:r w:rsidRPr="00E701EB">
        <w:rPr>
          <w:rFonts w:ascii="Times New Roman" w:hAnsi="Times New Roman" w:cs="Times New Roman"/>
          <w:sz w:val="24"/>
          <w:szCs w:val="24"/>
        </w:rPr>
        <w:t>б) признаются доходами от пассивной деятельности следующие доходы:</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дивиденды;</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процентный доход (или иной аналогичный доход);</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доходы от сдачи в аренду или субаренду имущества;</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доходы от использования прав на объекты интеллектуальной собственности;</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периодические страховые выплаты (аннуитеты);</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доходы, полученные в рамках договора добровольного страхования жизни;</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иные доходы, аналогичные доходам, указанным в настоящем пункте.</w:t>
      </w:r>
    </w:p>
    <w:p w:rsidR="00636A48" w:rsidRPr="00E701EB" w:rsidRDefault="00636A48" w:rsidP="00636A48">
      <w:pPr>
        <w:autoSpaceDE w:val="0"/>
        <w:autoSpaceDN w:val="0"/>
        <w:adjustRightInd w:val="0"/>
        <w:spacing w:before="240" w:after="0" w:line="240" w:lineRule="auto"/>
        <w:ind w:firstLine="540"/>
        <w:jc w:val="both"/>
        <w:rPr>
          <w:rFonts w:ascii="Times New Roman" w:hAnsi="Times New Roman" w:cs="Times New Roman"/>
          <w:sz w:val="24"/>
          <w:szCs w:val="24"/>
        </w:rPr>
      </w:pPr>
      <w:r w:rsidRPr="00E701EB">
        <w:rPr>
          <w:rFonts w:ascii="Times New Roman" w:hAnsi="Times New Roman" w:cs="Times New Roman"/>
          <w:sz w:val="24"/>
          <w:szCs w:val="24"/>
        </w:rPr>
        <w:t xml:space="preserve">2. Доходы, не указанные в </w:t>
      </w:r>
      <w:hyperlink w:anchor="Par19" w:history="1">
        <w:r w:rsidRPr="00E701EB">
          <w:rPr>
            <w:rFonts w:ascii="Times New Roman" w:hAnsi="Times New Roman" w:cs="Times New Roman"/>
            <w:sz w:val="24"/>
            <w:szCs w:val="24"/>
          </w:rPr>
          <w:t>подпункте "б" пункта 1</w:t>
        </w:r>
      </w:hyperlink>
      <w:r w:rsidRPr="00E701EB">
        <w:rPr>
          <w:rFonts w:ascii="Times New Roman" w:hAnsi="Times New Roman" w:cs="Times New Roman"/>
          <w:sz w:val="24"/>
          <w:szCs w:val="24"/>
        </w:rPr>
        <w:t xml:space="preserve"> настоящего Приложения, признаются доходами от активной деятельности.</w:t>
      </w:r>
    </w:p>
    <w:p w:rsidR="00636A48" w:rsidRPr="00E701EB" w:rsidRDefault="00636A48">
      <w:pPr>
        <w:rPr>
          <w:rFonts w:ascii="Times New Roman" w:hAnsi="Times New Roman" w:cs="Times New Roman"/>
          <w:sz w:val="24"/>
          <w:szCs w:val="24"/>
        </w:rPr>
      </w:pPr>
    </w:p>
    <w:sectPr w:rsidR="00636A48" w:rsidRPr="00E70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968"/>
    <w:multiLevelType w:val="hybridMultilevel"/>
    <w:tmpl w:val="8F68315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48"/>
    <w:rsid w:val="00636A48"/>
    <w:rsid w:val="00A81B97"/>
    <w:rsid w:val="00C612BF"/>
    <w:rsid w:val="00E7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EC0E5-66C0-4A20-993F-9CB3B08F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A48"/>
    <w:pPr>
      <w:ind w:left="720"/>
      <w:contextualSpacing/>
    </w:pPr>
  </w:style>
  <w:style w:type="table" w:styleId="a4">
    <w:name w:val="Table Grid"/>
    <w:basedOn w:val="a1"/>
    <w:uiPriority w:val="59"/>
    <w:unhideWhenUsed/>
    <w:rsid w:val="00A81B9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Поминова Елена Ивановна</dc:creator>
  <cp:keywords/>
  <dc:description/>
  <cp:lastModifiedBy>Поминова Елена Ивановна</cp:lastModifiedBy>
  <cp:revision>2</cp:revision>
  <dcterms:created xsi:type="dcterms:W3CDTF">2021-01-25T07:37:00Z</dcterms:created>
  <dcterms:modified xsi:type="dcterms:W3CDTF">2021-01-28T08:53:00Z</dcterms:modified>
</cp:coreProperties>
</file>